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FC3C" w14:textId="5AE60C87" w:rsidR="00E63CB4" w:rsidRPr="00EA16BC" w:rsidRDefault="00E63CB4">
      <w:pPr>
        <w:rPr>
          <w:rFonts w:asciiTheme="majorHAnsi" w:hAnsiTheme="majorHAnsi" w:cstheme="majorHAnsi"/>
        </w:rPr>
      </w:pPr>
      <w:r w:rsidRPr="00EA16BC">
        <w:rPr>
          <w:rFonts w:asciiTheme="majorHAnsi" w:hAnsiTheme="majorHAnsi" w:cstheme="majorHAnsi"/>
        </w:rPr>
        <w:t>Praktikertjänst AB:s Pensionsstiftelse</w:t>
      </w:r>
    </w:p>
    <w:p w14:paraId="467B8B08" w14:textId="15E3DA9E" w:rsidR="00E72158" w:rsidRPr="00EA16BC" w:rsidRDefault="00E72158">
      <w:pPr>
        <w:rPr>
          <w:rFonts w:asciiTheme="majorHAnsi" w:hAnsiTheme="majorHAnsi" w:cstheme="majorHAnsi"/>
        </w:rPr>
      </w:pPr>
    </w:p>
    <w:p w14:paraId="47B36429" w14:textId="420F381C" w:rsidR="00E72158" w:rsidRPr="00EA16BC" w:rsidRDefault="001771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B117A2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-</w:t>
      </w:r>
      <w:r w:rsidR="00A76B0A">
        <w:rPr>
          <w:rFonts w:asciiTheme="majorHAnsi" w:hAnsiTheme="majorHAnsi" w:cstheme="majorHAnsi"/>
        </w:rPr>
        <w:t>0</w:t>
      </w:r>
      <w:r w:rsidR="00B117A2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-</w:t>
      </w:r>
      <w:r w:rsidR="00B117A2">
        <w:rPr>
          <w:rFonts w:asciiTheme="majorHAnsi" w:hAnsiTheme="majorHAnsi" w:cstheme="majorHAnsi"/>
        </w:rPr>
        <w:t>14</w:t>
      </w:r>
    </w:p>
    <w:p w14:paraId="233D79E4" w14:textId="5703185D" w:rsidR="00E63CB4" w:rsidRPr="00EA16BC" w:rsidRDefault="00E63CB4">
      <w:pPr>
        <w:rPr>
          <w:rFonts w:asciiTheme="majorHAnsi" w:hAnsiTheme="majorHAnsi" w:cstheme="majorHAnsi"/>
        </w:rPr>
      </w:pPr>
    </w:p>
    <w:p w14:paraId="7050E175" w14:textId="7602768E" w:rsidR="00E63CB4" w:rsidRDefault="00E63CB4" w:rsidP="6A25E937">
      <w:pPr>
        <w:pStyle w:val="Heading1"/>
      </w:pPr>
      <w:r>
        <w:t>Ägarstyrning och bevakning av aktieägarrättigheter under 20</w:t>
      </w:r>
      <w:r w:rsidR="0FDF5A6E">
        <w:t>2</w:t>
      </w:r>
      <w:r w:rsidR="00B076AF">
        <w:t>3</w:t>
      </w:r>
    </w:p>
    <w:p w14:paraId="5EDC4B1B" w14:textId="24E7F869" w:rsidR="00E63CB4" w:rsidRPr="00EA16BC" w:rsidRDefault="00E63CB4" w:rsidP="00EA16BC">
      <w:pPr>
        <w:rPr>
          <w:rFonts w:asciiTheme="majorHAnsi" w:hAnsiTheme="majorHAnsi" w:cstheme="majorHAnsi"/>
        </w:rPr>
      </w:pPr>
    </w:p>
    <w:p w14:paraId="72319FAB" w14:textId="68C28750" w:rsidR="00E63CB4" w:rsidRPr="00EA16BC" w:rsidRDefault="00E63CB4" w:rsidP="00EA16BC">
      <w:pPr>
        <w:pStyle w:val="Heading2"/>
      </w:pPr>
      <w:r w:rsidRPr="00EA16BC">
        <w:t>Bakgrund – Ägarpolicyns principer</w:t>
      </w:r>
    </w:p>
    <w:p w14:paraId="497760C5" w14:textId="061ADE61" w:rsidR="005B2CA9" w:rsidRPr="00EA16BC" w:rsidRDefault="00E63CB4" w:rsidP="00EA16BC">
      <w:pPr>
        <w:rPr>
          <w:rFonts w:asciiTheme="majorHAnsi" w:hAnsiTheme="majorHAnsi" w:cstheme="majorHAnsi"/>
        </w:rPr>
      </w:pPr>
      <w:r w:rsidRPr="00EA16BC">
        <w:rPr>
          <w:rFonts w:asciiTheme="majorHAnsi" w:hAnsiTheme="majorHAnsi" w:cstheme="majorHAnsi"/>
        </w:rPr>
        <w:t xml:space="preserve">Den bärande principen i dessa riktlinjer är att utövande av ägarinflytande i noterade </w:t>
      </w:r>
      <w:r w:rsidR="005B2CA9" w:rsidRPr="00EA16BC">
        <w:rPr>
          <w:rFonts w:asciiTheme="majorHAnsi" w:hAnsiTheme="majorHAnsi" w:cstheme="majorHAnsi"/>
        </w:rPr>
        <w:t xml:space="preserve">(och i förekommande fall onoterade) </w:t>
      </w:r>
      <w:r w:rsidRPr="00EA16BC">
        <w:rPr>
          <w:rFonts w:asciiTheme="majorHAnsi" w:hAnsiTheme="majorHAnsi" w:cstheme="majorHAnsi"/>
        </w:rPr>
        <w:t xml:space="preserve">bolag utövas i syfte att främja möjligheten till högre uthållig avkastning på Praktikertjänst AB:s Pensionsstiftelse (Stiftelsen) placerade medel samt påverka bolagen i enlighet med våra värderingar. Rent praktiskt kan </w:t>
      </w:r>
      <w:r w:rsidR="005B2CA9" w:rsidRPr="00EA16BC">
        <w:rPr>
          <w:rFonts w:asciiTheme="majorHAnsi" w:hAnsiTheme="majorHAnsi" w:cstheme="majorHAnsi"/>
        </w:rPr>
        <w:t>man dela in dessa rättigheter, och ansvar att utöva dem, i två huvudgrupper:</w:t>
      </w:r>
      <w:r w:rsidR="005B2CA9" w:rsidRPr="00EA16BC">
        <w:rPr>
          <w:rFonts w:asciiTheme="majorHAnsi" w:hAnsiTheme="majorHAnsi" w:cstheme="majorHAnsi"/>
        </w:rPr>
        <w:br/>
      </w:r>
    </w:p>
    <w:p w14:paraId="03B37FA4" w14:textId="5303863B" w:rsidR="005B2CA9" w:rsidRPr="009439DB" w:rsidRDefault="005B2CA9" w:rsidP="009439D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7A4D11">
        <w:rPr>
          <w:rFonts w:asciiTheme="majorHAnsi" w:hAnsiTheme="majorHAnsi" w:cstheme="majorHAnsi"/>
        </w:rPr>
        <w:t xml:space="preserve">Traditionella </w:t>
      </w:r>
      <w:r w:rsidR="00FF0566" w:rsidRPr="007A4D11">
        <w:rPr>
          <w:rFonts w:asciiTheme="majorHAnsi" w:hAnsiTheme="majorHAnsi" w:cstheme="majorHAnsi"/>
        </w:rPr>
        <w:t xml:space="preserve">ägarfrågor - </w:t>
      </w:r>
      <w:r w:rsidRPr="007A4D11">
        <w:rPr>
          <w:rFonts w:asciiTheme="majorHAnsi" w:hAnsiTheme="majorHAnsi" w:cstheme="majorHAnsi"/>
        </w:rPr>
        <w:t>Tillvaratagande av Praktikertjänsts ekonomiska rättigheter</w:t>
      </w:r>
      <w:r w:rsidR="009439DB">
        <w:rPr>
          <w:rFonts w:asciiTheme="majorHAnsi" w:hAnsiTheme="majorHAnsi" w:cstheme="majorHAnsi"/>
        </w:rPr>
        <w:t xml:space="preserve">. </w:t>
      </w:r>
      <w:r w:rsidRPr="009439DB">
        <w:rPr>
          <w:rFonts w:asciiTheme="majorHAnsi" w:hAnsiTheme="majorHAnsi" w:cstheme="majorHAnsi"/>
        </w:rPr>
        <w:t>Röstande vid bolagstämmor och på annat sätt föra dialog med styrelse och ledning avseende</w:t>
      </w:r>
    </w:p>
    <w:p w14:paraId="5754BA02" w14:textId="77777777" w:rsidR="009439DB" w:rsidRDefault="005B2CA9" w:rsidP="00D76F47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439DB">
        <w:rPr>
          <w:rFonts w:asciiTheme="majorHAnsi" w:hAnsiTheme="majorHAnsi" w:cstheme="majorHAnsi"/>
        </w:rPr>
        <w:t>Förvärv och andra strategiska frågor</w:t>
      </w:r>
    </w:p>
    <w:p w14:paraId="3F03A7A7" w14:textId="77777777" w:rsidR="009439DB" w:rsidRDefault="005B2CA9" w:rsidP="00D76F47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439DB">
        <w:rPr>
          <w:rFonts w:asciiTheme="majorHAnsi" w:hAnsiTheme="majorHAnsi" w:cstheme="majorHAnsi"/>
        </w:rPr>
        <w:t>Nyemissioner och finansiella transaktioner med påverkan på aktieägarvärde</w:t>
      </w:r>
    </w:p>
    <w:p w14:paraId="2C424B20" w14:textId="77777777" w:rsidR="009439DB" w:rsidRDefault="005B2CA9" w:rsidP="00D76F47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439DB">
        <w:rPr>
          <w:rFonts w:asciiTheme="majorHAnsi" w:hAnsiTheme="majorHAnsi" w:cstheme="majorHAnsi"/>
        </w:rPr>
        <w:t>Incitamentsprogram och ersättningsfrågor</w:t>
      </w:r>
    </w:p>
    <w:p w14:paraId="5827BB87" w14:textId="686D2ED8" w:rsidR="005B2CA9" w:rsidRDefault="005B2CA9" w:rsidP="009439D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9439DB">
        <w:rPr>
          <w:rFonts w:asciiTheme="majorHAnsi" w:hAnsiTheme="majorHAnsi" w:cstheme="majorHAnsi"/>
        </w:rPr>
        <w:t>Frågor rörande etiska, sociala och miljöfrågor, s k ESG frågor</w:t>
      </w:r>
      <w:r w:rsidR="00940279">
        <w:rPr>
          <w:rFonts w:asciiTheme="majorHAnsi" w:hAnsiTheme="majorHAnsi" w:cstheme="majorHAnsi"/>
        </w:rPr>
        <w:t>, med fokus på</w:t>
      </w:r>
    </w:p>
    <w:p w14:paraId="3FAB0B3B" w14:textId="23B722F9" w:rsidR="00940279" w:rsidRDefault="00735848" w:rsidP="00940279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Hållbarhet</w:t>
      </w:r>
      <w:r w:rsidR="00FF0955">
        <w:rPr>
          <w:rFonts w:asciiTheme="majorHAnsi" w:hAnsiTheme="majorHAnsi" w:cstheme="majorHAnsi"/>
        </w:rPr>
        <w:t xml:space="preserve"> för vår planet och dess invånare</w:t>
      </w:r>
    </w:p>
    <w:p w14:paraId="754A3638" w14:textId="52EA224D" w:rsidR="00D76F47" w:rsidRPr="009439DB" w:rsidRDefault="00735848" w:rsidP="00D76F47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Och därför i förlängningen bolagens ekonomiska hållbarhet</w:t>
      </w:r>
    </w:p>
    <w:p w14:paraId="457618F1" w14:textId="0ECF4FD8" w:rsidR="005B2CA9" w:rsidRPr="00EA16BC" w:rsidRDefault="00FF0566" w:rsidP="00EA16BC">
      <w:pPr>
        <w:pStyle w:val="Heading2"/>
      </w:pPr>
      <w:r w:rsidRPr="00EA16BC">
        <w:t>Traditionella Ägarfrågor</w:t>
      </w:r>
    </w:p>
    <w:p w14:paraId="0C69E364" w14:textId="1BF9D425" w:rsidR="00002A33" w:rsidRDefault="002F401C" w:rsidP="006D03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FF0566" w:rsidRPr="00EA16BC">
        <w:rPr>
          <w:rFonts w:asciiTheme="majorHAnsi" w:hAnsiTheme="majorHAnsi" w:cstheme="majorHAnsi"/>
        </w:rPr>
        <w:t xml:space="preserve">tiftelsen investerar </w:t>
      </w:r>
      <w:r w:rsidRPr="00EA16BC">
        <w:rPr>
          <w:rFonts w:asciiTheme="majorHAnsi" w:hAnsiTheme="majorHAnsi" w:cstheme="majorHAnsi"/>
        </w:rPr>
        <w:t xml:space="preserve">övervägande </w:t>
      </w:r>
      <w:r w:rsidR="00FF0566" w:rsidRPr="00EA16BC">
        <w:rPr>
          <w:rFonts w:asciiTheme="majorHAnsi" w:hAnsiTheme="majorHAnsi" w:cstheme="majorHAnsi"/>
        </w:rPr>
        <w:t xml:space="preserve">i internationella storbolag med generellt omfattande genomlysning och brett ägande. Därför fokuserar </w:t>
      </w:r>
      <w:r w:rsidR="003E0427" w:rsidRPr="00EA16BC">
        <w:rPr>
          <w:rFonts w:asciiTheme="majorHAnsi" w:hAnsiTheme="majorHAnsi" w:cstheme="majorHAnsi"/>
        </w:rPr>
        <w:t>kapitalförvaltningsgruppen sin tid och resurser där de har betydelse och genomslag. Rent praktiskt betyder det att vi främst är aktiva</w:t>
      </w:r>
      <w:r w:rsidR="006D0388">
        <w:rPr>
          <w:rFonts w:asciiTheme="majorHAnsi" w:hAnsiTheme="majorHAnsi" w:cstheme="majorHAnsi"/>
        </w:rPr>
        <w:t xml:space="preserve"> </w:t>
      </w:r>
      <w:r w:rsidR="003E0427" w:rsidRPr="00EA16BC">
        <w:rPr>
          <w:rFonts w:asciiTheme="majorHAnsi" w:hAnsiTheme="majorHAnsi" w:cstheme="majorHAnsi"/>
        </w:rPr>
        <w:t>i bolag där vi har ett betydande ägande, eller där investeringen utgör en betydande del av vår portfölj.</w:t>
      </w:r>
      <w:r w:rsidR="006D0388">
        <w:rPr>
          <w:rFonts w:asciiTheme="majorHAnsi" w:hAnsiTheme="majorHAnsi" w:cstheme="majorHAnsi"/>
        </w:rPr>
        <w:t xml:space="preserve"> Vidare engagerar vi oss i </w:t>
      </w:r>
      <w:r w:rsidR="00002A33" w:rsidRPr="00EA16BC">
        <w:rPr>
          <w:rFonts w:asciiTheme="majorHAnsi" w:hAnsiTheme="majorHAnsi" w:cstheme="majorHAnsi"/>
        </w:rPr>
        <w:t>frågor som har stor betydelse för bolagsvärden eller som på annat sätt är utmärkande</w:t>
      </w:r>
      <w:r w:rsidR="006D0388">
        <w:rPr>
          <w:rFonts w:asciiTheme="majorHAnsi" w:hAnsiTheme="majorHAnsi" w:cstheme="majorHAnsi"/>
        </w:rPr>
        <w:t xml:space="preserve"> och där vår ståndpunkt inte representeras</w:t>
      </w:r>
      <w:r w:rsidR="00002A33" w:rsidRPr="00EA16BC">
        <w:rPr>
          <w:rFonts w:asciiTheme="majorHAnsi" w:hAnsiTheme="majorHAnsi" w:cstheme="majorHAnsi"/>
        </w:rPr>
        <w:t>.</w:t>
      </w:r>
      <w:r w:rsidR="007F04B0">
        <w:rPr>
          <w:rFonts w:asciiTheme="majorHAnsi" w:hAnsiTheme="majorHAnsi" w:cstheme="majorHAnsi"/>
        </w:rPr>
        <w:t xml:space="preserve"> </w:t>
      </w:r>
    </w:p>
    <w:p w14:paraId="3DB00711" w14:textId="272FE9C5" w:rsidR="007F04B0" w:rsidRPr="007F04B0" w:rsidRDefault="007F04B0" w:rsidP="007F04B0">
      <w:p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 xml:space="preserve">Vi har definierat 3 huvudkriterier för </w:t>
      </w:r>
      <w:r>
        <w:rPr>
          <w:rFonts w:asciiTheme="majorHAnsi" w:hAnsiTheme="majorHAnsi" w:cstheme="majorHAnsi"/>
        </w:rPr>
        <w:t xml:space="preserve">var </w:t>
      </w:r>
      <w:r w:rsidRPr="007F04B0">
        <w:rPr>
          <w:rFonts w:asciiTheme="majorHAnsi" w:hAnsiTheme="majorHAnsi" w:cstheme="majorHAnsi"/>
        </w:rPr>
        <w:t>vi anser oss vara absolut manade att vara aktiva ägare:</w:t>
      </w:r>
    </w:p>
    <w:p w14:paraId="250BEF85" w14:textId="77777777" w:rsidR="007F04B0" w:rsidRPr="007F04B0" w:rsidRDefault="007F04B0" w:rsidP="007F04B0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>Vi har en betydande ägarandel = Vi äger &gt;5% av aktierna i bolaget</w:t>
      </w:r>
    </w:p>
    <w:p w14:paraId="55F07AB6" w14:textId="77777777" w:rsidR="007F04B0" w:rsidRPr="007F04B0" w:rsidRDefault="007F04B0" w:rsidP="007F04B0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>Vi har en betydande position = Vår position väger &gt;4% av aktieportföljen</w:t>
      </w:r>
    </w:p>
    <w:p w14:paraId="05A07734" w14:textId="77777777" w:rsidR="007F04B0" w:rsidRPr="007F04B0" w:rsidRDefault="007F04B0" w:rsidP="007F04B0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>Det rör sig om ett flagrant fall av eftersatt aktieägarvärde och vi inte företräds av större ägare med helt likriktade intressen.</w:t>
      </w:r>
    </w:p>
    <w:p w14:paraId="0553873D" w14:textId="7809CC9F" w:rsidR="007F04B0" w:rsidRDefault="007F04B0" w:rsidP="007F04B0">
      <w:p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>I dessa fall är det viktigt att vi aktiverar oss. Det står oss naturligt fritt att intervenera i andra fall också, men med tanke på att vi mest har positioner i mycket stora bolag så kommer det inte hända så ofta.</w:t>
      </w:r>
    </w:p>
    <w:p w14:paraId="472DBD7A" w14:textId="40CABE92" w:rsidR="006D0388" w:rsidRDefault="006D0388" w:rsidP="00EA16BC">
      <w:pPr>
        <w:rPr>
          <w:rFonts w:asciiTheme="majorHAnsi" w:hAnsiTheme="majorHAnsi" w:cstheme="majorHAnsi"/>
        </w:rPr>
      </w:pPr>
    </w:p>
    <w:p w14:paraId="3CFDCB4B" w14:textId="6F6CD76E" w:rsidR="006D0388" w:rsidRDefault="006D0388" w:rsidP="00EA16BC">
      <w:pPr>
        <w:rPr>
          <w:rFonts w:asciiTheme="majorHAnsi" w:hAnsiTheme="majorHAnsi" w:cstheme="majorHAnsi"/>
        </w:rPr>
      </w:pPr>
    </w:p>
    <w:p w14:paraId="3D919956" w14:textId="77777777" w:rsidR="006D0388" w:rsidRPr="00EA16BC" w:rsidRDefault="006D0388" w:rsidP="00EA16BC">
      <w:pPr>
        <w:rPr>
          <w:rFonts w:asciiTheme="majorHAnsi" w:hAnsiTheme="majorHAnsi" w:cstheme="majorHAnsi"/>
        </w:rPr>
      </w:pPr>
    </w:p>
    <w:p w14:paraId="61750098" w14:textId="4D4E733A" w:rsidR="002F5C73" w:rsidRDefault="00B52A62" w:rsidP="002F5C73">
      <w:pPr>
        <w:pStyle w:val="Heading3"/>
      </w:pPr>
      <w:r>
        <w:t>Notabla ä</w:t>
      </w:r>
      <w:r w:rsidR="003E0427">
        <w:t>garåtgärder</w:t>
      </w:r>
      <w:r>
        <w:t xml:space="preserve"> under 20</w:t>
      </w:r>
      <w:r w:rsidR="79E4148D">
        <w:t>2</w:t>
      </w:r>
      <w:r w:rsidR="003B1837">
        <w:t>3</w:t>
      </w:r>
    </w:p>
    <w:p w14:paraId="55719EE2" w14:textId="77777777" w:rsidR="002F5C73" w:rsidRPr="002F5C73" w:rsidRDefault="002F5C73" w:rsidP="002F5C73"/>
    <w:p w14:paraId="3A9592FC" w14:textId="4C410F26" w:rsidR="002F5C73" w:rsidRDefault="002F5C73" w:rsidP="6A25E937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Under 202</w:t>
      </w:r>
      <w:r w:rsidR="00B35914">
        <w:rPr>
          <w:rFonts w:asciiTheme="majorHAnsi" w:hAnsiTheme="majorHAnsi" w:cstheme="majorBidi"/>
        </w:rPr>
        <w:t xml:space="preserve">3 </w:t>
      </w:r>
      <w:r w:rsidR="00887745">
        <w:rPr>
          <w:rFonts w:asciiTheme="majorHAnsi" w:hAnsiTheme="majorHAnsi" w:cstheme="majorBidi"/>
        </w:rPr>
        <w:t xml:space="preserve">har vi fokuserat våra resurser på </w:t>
      </w:r>
      <w:r w:rsidR="00DD2DA7">
        <w:rPr>
          <w:rFonts w:asciiTheme="majorHAnsi" w:hAnsiTheme="majorHAnsi" w:cstheme="majorBidi"/>
        </w:rPr>
        <w:t xml:space="preserve">de största innehaven i vår portfölj som efter </w:t>
      </w:r>
      <w:r w:rsidR="004B1130">
        <w:rPr>
          <w:rFonts w:asciiTheme="majorHAnsi" w:hAnsiTheme="majorHAnsi" w:cstheme="majorBidi"/>
        </w:rPr>
        <w:t>kraftiga uppgångar har börjat utgöra positioner som ligger över 4% av aktieportföljen</w:t>
      </w:r>
      <w:r w:rsidR="000D4E23">
        <w:rPr>
          <w:rFonts w:asciiTheme="majorHAnsi" w:hAnsiTheme="majorHAnsi" w:cstheme="majorBidi"/>
        </w:rPr>
        <w:t>.</w:t>
      </w:r>
      <w:r w:rsidR="00BA2525">
        <w:rPr>
          <w:rFonts w:asciiTheme="majorHAnsi" w:hAnsiTheme="majorHAnsi" w:cstheme="majorBidi"/>
        </w:rPr>
        <w:t xml:space="preserve"> Det är tre bolag som hamnat över denna gräns och de är: Microsoft, Apple och </w:t>
      </w:r>
      <w:proofErr w:type="spellStart"/>
      <w:r w:rsidR="00BA2525">
        <w:rPr>
          <w:rFonts w:asciiTheme="majorHAnsi" w:hAnsiTheme="majorHAnsi" w:cstheme="majorBidi"/>
        </w:rPr>
        <w:t>Nvidia</w:t>
      </w:r>
      <w:proofErr w:type="spellEnd"/>
      <w:r w:rsidR="00BA2525">
        <w:rPr>
          <w:rFonts w:asciiTheme="majorHAnsi" w:hAnsiTheme="majorHAnsi" w:cstheme="majorBidi"/>
        </w:rPr>
        <w:t xml:space="preserve"> som nu ligger över </w:t>
      </w:r>
      <w:r w:rsidR="00DC232D">
        <w:rPr>
          <w:rFonts w:asciiTheme="majorHAnsi" w:hAnsiTheme="majorHAnsi" w:cstheme="majorBidi"/>
        </w:rPr>
        <w:t xml:space="preserve">4% var. Med hjälp av </w:t>
      </w:r>
      <w:r w:rsidR="003A7CB3">
        <w:rPr>
          <w:rFonts w:asciiTheme="majorHAnsi" w:hAnsiTheme="majorHAnsi" w:cstheme="majorBidi"/>
        </w:rPr>
        <w:t>S</w:t>
      </w:r>
      <w:r w:rsidR="00DC232D">
        <w:rPr>
          <w:rFonts w:asciiTheme="majorHAnsi" w:hAnsiTheme="majorHAnsi" w:cstheme="majorBidi"/>
        </w:rPr>
        <w:t xml:space="preserve">ustainalytics verktyg har vi kunnat </w:t>
      </w:r>
      <w:r w:rsidR="00CA0448">
        <w:rPr>
          <w:rFonts w:asciiTheme="majorHAnsi" w:hAnsiTheme="majorHAnsi" w:cstheme="majorBidi"/>
        </w:rPr>
        <w:t>följa nyheter som berör eventuella kommande problem inom ESG området</w:t>
      </w:r>
      <w:r w:rsidR="00A014BC">
        <w:rPr>
          <w:rFonts w:asciiTheme="majorHAnsi" w:hAnsiTheme="majorHAnsi" w:cstheme="majorBidi"/>
        </w:rPr>
        <w:t>.</w:t>
      </w:r>
      <w:r w:rsidR="00CA0448">
        <w:rPr>
          <w:rFonts w:asciiTheme="majorHAnsi" w:hAnsiTheme="majorHAnsi" w:cstheme="majorBidi"/>
        </w:rPr>
        <w:t xml:space="preserve"> </w:t>
      </w:r>
      <w:r w:rsidR="00A014BC">
        <w:rPr>
          <w:rFonts w:asciiTheme="majorHAnsi" w:hAnsiTheme="majorHAnsi" w:cstheme="majorBidi"/>
        </w:rPr>
        <w:t xml:space="preserve">Vad som möjligtvis kan komma att bli problem ligger oftast inom området konkurrens då dessa bolag har en relativt dominerande ställning i sina respektive affärsområden </w:t>
      </w:r>
      <w:r w:rsidR="00CA0448">
        <w:rPr>
          <w:rFonts w:asciiTheme="majorHAnsi" w:hAnsiTheme="majorHAnsi" w:cstheme="majorBidi"/>
        </w:rPr>
        <w:t>men än så länge har</w:t>
      </w:r>
      <w:r w:rsidR="00BE2F13">
        <w:rPr>
          <w:rFonts w:asciiTheme="majorHAnsi" w:hAnsiTheme="majorHAnsi" w:cstheme="majorBidi"/>
        </w:rPr>
        <w:t xml:space="preserve"> vi inte sett några graverande anklagelser som skulle kunna utgöra ett problem</w:t>
      </w:r>
      <w:r w:rsidR="00F25DB2">
        <w:rPr>
          <w:rFonts w:asciiTheme="majorHAnsi" w:hAnsiTheme="majorHAnsi" w:cstheme="majorBidi"/>
        </w:rPr>
        <w:t>.</w:t>
      </w:r>
      <w:r w:rsidR="00E63EB4">
        <w:rPr>
          <w:rFonts w:asciiTheme="majorHAnsi" w:hAnsiTheme="majorHAnsi" w:cstheme="majorBidi"/>
        </w:rPr>
        <w:t xml:space="preserve"> </w:t>
      </w:r>
      <w:r w:rsidR="00F25DB2">
        <w:rPr>
          <w:rFonts w:asciiTheme="majorHAnsi" w:hAnsiTheme="majorHAnsi" w:cstheme="majorBidi"/>
        </w:rPr>
        <w:t xml:space="preserve">Den åsikten delar Sustainalytics som betygsätter alla dessa bolag som </w:t>
      </w:r>
      <w:proofErr w:type="spellStart"/>
      <w:r w:rsidR="00F25DB2">
        <w:rPr>
          <w:rFonts w:asciiTheme="majorHAnsi" w:hAnsiTheme="majorHAnsi" w:cstheme="majorBidi"/>
        </w:rPr>
        <w:t>Compliant</w:t>
      </w:r>
      <w:proofErr w:type="spellEnd"/>
      <w:r w:rsidR="000F3A7A">
        <w:rPr>
          <w:rFonts w:asciiTheme="majorHAnsi" w:hAnsiTheme="majorHAnsi" w:cstheme="majorBidi"/>
        </w:rPr>
        <w:t xml:space="preserve">. </w:t>
      </w:r>
    </w:p>
    <w:p w14:paraId="3897BC99" w14:textId="504610B9" w:rsidR="00AC5248" w:rsidRDefault="00AC5248" w:rsidP="6A25E937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I övrigt anser vi att </w:t>
      </w:r>
      <w:r w:rsidRPr="6A25E937">
        <w:rPr>
          <w:rFonts w:asciiTheme="majorHAnsi" w:hAnsiTheme="majorHAnsi" w:cstheme="majorBidi"/>
        </w:rPr>
        <w:t>Sustainalytics ha</w:t>
      </w:r>
      <w:r>
        <w:rPr>
          <w:rFonts w:asciiTheme="majorHAnsi" w:hAnsiTheme="majorHAnsi" w:cstheme="majorBidi"/>
        </w:rPr>
        <w:t>r</w:t>
      </w:r>
      <w:r w:rsidRPr="6A25E937">
        <w:rPr>
          <w:rFonts w:asciiTheme="majorHAnsi" w:hAnsiTheme="majorHAnsi" w:cstheme="majorBidi"/>
        </w:rPr>
        <w:t xml:space="preserve"> adresserat överträdelserna i de bolag som hamnat på Watchlist och Non-</w:t>
      </w:r>
      <w:proofErr w:type="spellStart"/>
      <w:r w:rsidRPr="6A25E937">
        <w:rPr>
          <w:rFonts w:asciiTheme="majorHAnsi" w:hAnsiTheme="majorHAnsi" w:cstheme="majorBidi"/>
        </w:rPr>
        <w:t>Compliant</w:t>
      </w:r>
      <w:proofErr w:type="spellEnd"/>
      <w:r w:rsidRPr="6A25E937">
        <w:rPr>
          <w:rFonts w:asciiTheme="majorHAnsi" w:hAnsiTheme="majorHAnsi" w:cstheme="majorBidi"/>
        </w:rPr>
        <w:t xml:space="preserve"> list på ett tillf</w:t>
      </w:r>
      <w:r w:rsidR="00D862E1">
        <w:rPr>
          <w:rFonts w:asciiTheme="majorHAnsi" w:hAnsiTheme="majorHAnsi" w:cstheme="majorBidi"/>
        </w:rPr>
        <w:t>redss</w:t>
      </w:r>
      <w:r w:rsidRPr="6A25E937">
        <w:rPr>
          <w:rFonts w:asciiTheme="majorHAnsi" w:hAnsiTheme="majorHAnsi" w:cstheme="majorBidi"/>
        </w:rPr>
        <w:t>tällande sätt och vår ståndpunkt i frågorna representera</w:t>
      </w:r>
      <w:r>
        <w:rPr>
          <w:rFonts w:asciiTheme="majorHAnsi" w:hAnsiTheme="majorHAnsi" w:cstheme="majorBidi"/>
        </w:rPr>
        <w:t>s</w:t>
      </w:r>
      <w:r w:rsidRPr="6A25E937">
        <w:rPr>
          <w:rFonts w:asciiTheme="majorHAnsi" w:hAnsiTheme="majorHAnsi" w:cstheme="majorBidi"/>
        </w:rPr>
        <w:t xml:space="preserve"> väl av Sustainalytics.</w:t>
      </w:r>
    </w:p>
    <w:p w14:paraId="4A68B461" w14:textId="3D84D0C6" w:rsidR="003E0427" w:rsidRPr="00EA16BC" w:rsidRDefault="003E0427" w:rsidP="00EA16BC">
      <w:pPr>
        <w:pStyle w:val="Heading2"/>
      </w:pPr>
      <w:r w:rsidRPr="00EA16BC">
        <w:t>ESG Frågor</w:t>
      </w:r>
    </w:p>
    <w:p w14:paraId="2B4A1FE3" w14:textId="12137D86" w:rsidR="003E0427" w:rsidRPr="00EA16BC" w:rsidRDefault="003E0427" w:rsidP="00EA16BC">
      <w:pPr>
        <w:rPr>
          <w:rFonts w:asciiTheme="majorHAnsi" w:hAnsiTheme="majorHAnsi" w:cstheme="majorHAnsi"/>
        </w:rPr>
      </w:pPr>
      <w:r w:rsidRPr="00EA16BC">
        <w:rPr>
          <w:rFonts w:asciiTheme="majorHAnsi" w:hAnsiTheme="majorHAnsi" w:cstheme="majorHAnsi"/>
        </w:rPr>
        <w:t>Stiftelsen använder sig av Sustainalytics för att följa upp hur samtliga bolag i portföljen uppfyller våra standards för ESG frågor. Portföljen screenas löpande samt med rapporter till styrelsen vid halv- och helårsskiften.</w:t>
      </w:r>
    </w:p>
    <w:p w14:paraId="78DD27AE" w14:textId="770E121E" w:rsidR="00850237" w:rsidRPr="00EA16BC" w:rsidRDefault="00850237" w:rsidP="00EA16BC">
      <w:pPr>
        <w:rPr>
          <w:rFonts w:asciiTheme="majorHAnsi" w:hAnsiTheme="majorHAnsi" w:cstheme="majorHAnsi"/>
        </w:rPr>
      </w:pPr>
      <w:r w:rsidRPr="00EA16BC">
        <w:rPr>
          <w:rFonts w:asciiTheme="majorHAnsi" w:hAnsiTheme="majorHAnsi" w:cstheme="majorHAnsi"/>
        </w:rPr>
        <w:t xml:space="preserve">Sustainalytics följer löpande upp efterlevnaden av deras ESG-principer, vilka vi i allt väsentligt delar, för merparten av globala börsbolag (listan uppdateras löpande). </w:t>
      </w:r>
      <w:r w:rsidRPr="00EA16BC">
        <w:rPr>
          <w:rFonts w:asciiTheme="majorHAnsi" w:hAnsiTheme="majorHAnsi" w:cstheme="majorHAnsi"/>
          <w:b/>
          <w:bCs/>
        </w:rPr>
        <w:t>Bifogat finns Sustainalytics flaggningslistor för våra portföljbolag, där respektive ansvarig förvaltare kommenterat</w:t>
      </w:r>
      <w:r w:rsidRPr="00EA16BC">
        <w:rPr>
          <w:rFonts w:asciiTheme="majorHAnsi" w:hAnsiTheme="majorHAnsi" w:cstheme="majorHAnsi"/>
        </w:rPr>
        <w:t xml:space="preserve"> vårt ställningstagande i frågeställningarna. I de allra flesta fallen stödjer vi officiellt Sustainalytics s k </w:t>
      </w:r>
      <w:proofErr w:type="spellStart"/>
      <w:r w:rsidRPr="00EA16BC">
        <w:rPr>
          <w:rFonts w:asciiTheme="majorHAnsi" w:hAnsiTheme="majorHAnsi" w:cstheme="majorHAnsi"/>
        </w:rPr>
        <w:t>Engagement</w:t>
      </w:r>
      <w:proofErr w:type="spellEnd"/>
      <w:r w:rsidRPr="00EA16BC">
        <w:rPr>
          <w:rFonts w:asciiTheme="majorHAnsi" w:hAnsiTheme="majorHAnsi" w:cstheme="majorHAnsi"/>
        </w:rPr>
        <w:t xml:space="preserve">-dialoger med bolaget för att aktivt bidra till förbättringar i de enskilda fallen. </w:t>
      </w:r>
    </w:p>
    <w:p w14:paraId="71DA0E45" w14:textId="05A9F5D0" w:rsidR="005D5D31" w:rsidRPr="00EA16BC" w:rsidRDefault="00D97B32" w:rsidP="00EA16BC">
      <w:pPr>
        <w:pStyle w:val="Heading2"/>
      </w:pPr>
      <w:r w:rsidRPr="00EA16BC">
        <w:t>Sammanfattning</w:t>
      </w:r>
    </w:p>
    <w:p w14:paraId="5DF4E105" w14:textId="29A9FC96" w:rsidR="00D97B32" w:rsidRPr="00EA16BC" w:rsidRDefault="00D97B32" w:rsidP="00EA16BC">
      <w:pPr>
        <w:rPr>
          <w:rFonts w:asciiTheme="majorHAnsi" w:hAnsiTheme="majorHAnsi" w:cstheme="majorHAnsi"/>
        </w:rPr>
      </w:pPr>
      <w:r w:rsidRPr="00EA16BC">
        <w:rPr>
          <w:rFonts w:asciiTheme="majorHAnsi" w:hAnsiTheme="majorHAnsi" w:cstheme="majorHAnsi"/>
        </w:rPr>
        <w:t>Sammantaget förelåg bland våra aktieinnehav följande statistiska fördelning i klassificering hos Sustainalytics.</w:t>
      </w:r>
    </w:p>
    <w:p w14:paraId="673194DF" w14:textId="3D7A9C8F" w:rsidR="00D97B32" w:rsidRPr="00EA16BC" w:rsidRDefault="00D97B32" w:rsidP="00EA16BC">
      <w:pPr>
        <w:rPr>
          <w:rFonts w:asciiTheme="majorHAnsi" w:hAnsiTheme="majorHAnsi" w:cstheme="majorHAnsi"/>
          <w:b/>
          <w:bCs/>
        </w:rPr>
      </w:pPr>
      <w:r w:rsidRPr="00EA16BC">
        <w:rPr>
          <w:rFonts w:asciiTheme="majorHAnsi" w:hAnsiTheme="majorHAnsi" w:cstheme="majorHAnsi"/>
          <w:b/>
          <w:bCs/>
        </w:rPr>
        <w:t>Non-</w:t>
      </w:r>
      <w:proofErr w:type="spellStart"/>
      <w:r w:rsidRPr="00EA16BC">
        <w:rPr>
          <w:rFonts w:asciiTheme="majorHAnsi" w:hAnsiTheme="majorHAnsi" w:cstheme="majorHAnsi"/>
          <w:b/>
          <w:bCs/>
        </w:rPr>
        <w:t>Compliant</w:t>
      </w:r>
      <w:proofErr w:type="spellEnd"/>
      <w:r w:rsidRPr="00EA16BC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357B4B">
        <w:rPr>
          <w:rFonts w:asciiTheme="majorHAnsi" w:hAnsiTheme="majorHAnsi" w:cstheme="majorHAnsi"/>
          <w:b/>
          <w:bCs/>
        </w:rPr>
        <w:t>1</w:t>
      </w:r>
      <w:r w:rsidRPr="00EA16BC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A16BC">
        <w:rPr>
          <w:rFonts w:asciiTheme="majorHAnsi" w:hAnsiTheme="majorHAnsi" w:cstheme="majorHAnsi"/>
          <w:b/>
          <w:bCs/>
        </w:rPr>
        <w:t>st</w:t>
      </w:r>
      <w:proofErr w:type="spellEnd"/>
      <w:proofErr w:type="gramEnd"/>
      <w:r w:rsidRPr="00EA16BC">
        <w:rPr>
          <w:rFonts w:asciiTheme="majorHAnsi" w:hAnsiTheme="majorHAnsi" w:cstheme="majorHAnsi"/>
          <w:b/>
          <w:bCs/>
        </w:rPr>
        <w:t xml:space="preserve"> (</w:t>
      </w:r>
      <w:r w:rsidR="00E6600A">
        <w:rPr>
          <w:rFonts w:asciiTheme="majorHAnsi" w:hAnsiTheme="majorHAnsi" w:cstheme="majorHAnsi"/>
          <w:b/>
          <w:bCs/>
        </w:rPr>
        <w:t xml:space="preserve">jämfört med </w:t>
      </w:r>
      <w:r w:rsidR="00202D0F">
        <w:rPr>
          <w:rFonts w:asciiTheme="majorHAnsi" w:hAnsiTheme="majorHAnsi" w:cstheme="majorHAnsi"/>
          <w:b/>
          <w:bCs/>
        </w:rPr>
        <w:t>1</w:t>
      </w:r>
      <w:r w:rsidR="00E6600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E6600A">
        <w:rPr>
          <w:rFonts w:asciiTheme="majorHAnsi" w:hAnsiTheme="majorHAnsi" w:cstheme="majorHAnsi"/>
          <w:b/>
          <w:bCs/>
        </w:rPr>
        <w:t>st</w:t>
      </w:r>
      <w:proofErr w:type="spellEnd"/>
      <w:r w:rsidRPr="00EA16BC">
        <w:rPr>
          <w:rFonts w:asciiTheme="majorHAnsi" w:hAnsiTheme="majorHAnsi" w:cstheme="majorHAnsi"/>
          <w:b/>
          <w:bCs/>
        </w:rPr>
        <w:t xml:space="preserve"> 30/6)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D97B32" w:rsidRPr="00EA16BC" w14:paraId="134A9E92" w14:textId="77777777" w:rsidTr="00750240">
        <w:trPr>
          <w:trHeight w:val="338"/>
        </w:trPr>
        <w:tc>
          <w:tcPr>
            <w:tcW w:w="2405" w:type="dxa"/>
            <w:hideMark/>
          </w:tcPr>
          <w:p w14:paraId="5EAC4E74" w14:textId="7814E143" w:rsidR="00D97B32" w:rsidRPr="00EA16BC" w:rsidRDefault="00E6600A" w:rsidP="00EA16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Wells Fargo &amp; Company</w:t>
            </w:r>
          </w:p>
        </w:tc>
      </w:tr>
    </w:tbl>
    <w:p w14:paraId="44221DDC" w14:textId="77777777" w:rsidR="00CC49A9" w:rsidRDefault="00CC49A9" w:rsidP="00CC49A9">
      <w:pPr>
        <w:rPr>
          <w:rFonts w:asciiTheme="majorHAnsi" w:hAnsiTheme="majorHAnsi" w:cstheme="majorHAnsi"/>
          <w:b/>
          <w:bCs/>
        </w:rPr>
      </w:pPr>
    </w:p>
    <w:p w14:paraId="1A9381AC" w14:textId="2217E05C" w:rsidR="00CC49A9" w:rsidRDefault="00CC49A9" w:rsidP="00602F8F">
      <w:pPr>
        <w:rPr>
          <w:rFonts w:asciiTheme="majorHAnsi" w:hAnsiTheme="majorHAnsi" w:cstheme="majorHAnsi"/>
          <w:b/>
          <w:bCs/>
        </w:rPr>
      </w:pPr>
      <w:r w:rsidRPr="00EA16BC">
        <w:rPr>
          <w:rFonts w:asciiTheme="majorHAnsi" w:hAnsiTheme="majorHAnsi" w:cstheme="majorHAnsi"/>
          <w:b/>
          <w:bCs/>
        </w:rPr>
        <w:t>Förändringen från 30</w:t>
      </w:r>
      <w:r w:rsidR="00E6600A">
        <w:rPr>
          <w:rFonts w:asciiTheme="majorHAnsi" w:hAnsiTheme="majorHAnsi" w:cstheme="majorHAnsi"/>
          <w:b/>
          <w:bCs/>
        </w:rPr>
        <w:t xml:space="preserve"> j</w:t>
      </w:r>
      <w:r w:rsidRPr="00EA16BC">
        <w:rPr>
          <w:rFonts w:asciiTheme="majorHAnsi" w:hAnsiTheme="majorHAnsi" w:cstheme="majorHAnsi"/>
          <w:b/>
          <w:bCs/>
        </w:rPr>
        <w:t>uni består av:</w:t>
      </w:r>
    </w:p>
    <w:p w14:paraId="32EEEAAC" w14:textId="54F9DCDB" w:rsidR="00207431" w:rsidRDefault="001D1F79" w:rsidP="00602F8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Inga förändringar i kategorien Non-</w:t>
      </w:r>
      <w:proofErr w:type="spellStart"/>
      <w:r>
        <w:rPr>
          <w:rFonts w:asciiTheme="majorHAnsi" w:hAnsiTheme="majorHAnsi" w:cstheme="majorHAnsi"/>
          <w:b/>
          <w:bCs/>
        </w:rPr>
        <w:t>Compliant</w:t>
      </w:r>
      <w:proofErr w:type="spellEnd"/>
    </w:p>
    <w:p w14:paraId="109A900F" w14:textId="77777777" w:rsidR="001D1F79" w:rsidRPr="00800BA0" w:rsidRDefault="001D1F79" w:rsidP="00602F8F">
      <w:pPr>
        <w:rPr>
          <w:rFonts w:asciiTheme="majorHAnsi" w:eastAsia="Times New Roman" w:hAnsiTheme="majorHAnsi" w:cstheme="majorHAnsi"/>
          <w:color w:val="000000"/>
        </w:rPr>
      </w:pPr>
    </w:p>
    <w:p w14:paraId="3637E2B4" w14:textId="688CC78F" w:rsidR="00D97B32" w:rsidRPr="00EA16BC" w:rsidRDefault="00D97B32" w:rsidP="00EA16BC">
      <w:pPr>
        <w:rPr>
          <w:rFonts w:asciiTheme="majorHAnsi" w:hAnsiTheme="majorHAnsi" w:cstheme="majorHAnsi"/>
          <w:b/>
          <w:bCs/>
        </w:rPr>
      </w:pPr>
      <w:r w:rsidRPr="00EA16BC">
        <w:rPr>
          <w:rFonts w:asciiTheme="majorHAnsi" w:hAnsiTheme="majorHAnsi" w:cstheme="majorHAnsi"/>
          <w:b/>
          <w:bCs/>
        </w:rPr>
        <w:t xml:space="preserve">Watchlist </w:t>
      </w:r>
      <w:proofErr w:type="gramStart"/>
      <w:r w:rsidRPr="00EA16BC">
        <w:rPr>
          <w:rFonts w:asciiTheme="majorHAnsi" w:hAnsiTheme="majorHAnsi" w:cstheme="majorHAnsi"/>
          <w:b/>
          <w:bCs/>
        </w:rPr>
        <w:t>1</w:t>
      </w:r>
      <w:r w:rsidR="00BE3C2E">
        <w:rPr>
          <w:rFonts w:asciiTheme="majorHAnsi" w:hAnsiTheme="majorHAnsi" w:cstheme="majorHAnsi"/>
          <w:b/>
          <w:bCs/>
        </w:rPr>
        <w:t>7</w:t>
      </w:r>
      <w:r w:rsidR="0065582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A16BC">
        <w:rPr>
          <w:rFonts w:asciiTheme="majorHAnsi" w:hAnsiTheme="majorHAnsi" w:cstheme="majorHAnsi"/>
          <w:b/>
          <w:bCs/>
        </w:rPr>
        <w:t>st</w:t>
      </w:r>
      <w:proofErr w:type="spellEnd"/>
      <w:proofErr w:type="gramEnd"/>
      <w:r w:rsidRPr="00EA16BC">
        <w:rPr>
          <w:rFonts w:asciiTheme="majorHAnsi" w:hAnsiTheme="majorHAnsi" w:cstheme="majorHAnsi"/>
          <w:b/>
          <w:bCs/>
        </w:rPr>
        <w:t xml:space="preserve"> (</w:t>
      </w:r>
      <w:r w:rsidR="006C53F7">
        <w:rPr>
          <w:rFonts w:asciiTheme="majorHAnsi" w:hAnsiTheme="majorHAnsi" w:cstheme="majorHAnsi"/>
          <w:b/>
          <w:bCs/>
        </w:rPr>
        <w:t>1</w:t>
      </w:r>
      <w:r w:rsidR="00BE3C2E">
        <w:rPr>
          <w:rFonts w:asciiTheme="majorHAnsi" w:hAnsiTheme="majorHAnsi" w:cstheme="majorHAnsi"/>
          <w:b/>
          <w:bCs/>
        </w:rPr>
        <w:t>6</w:t>
      </w:r>
      <w:r w:rsidRPr="00EA16BC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A16BC">
        <w:rPr>
          <w:rFonts w:asciiTheme="majorHAnsi" w:hAnsiTheme="majorHAnsi" w:cstheme="majorHAnsi"/>
          <w:b/>
          <w:bCs/>
        </w:rPr>
        <w:t>st</w:t>
      </w:r>
      <w:proofErr w:type="spellEnd"/>
      <w:r w:rsidRPr="00EA16BC">
        <w:rPr>
          <w:rFonts w:asciiTheme="majorHAnsi" w:hAnsiTheme="majorHAnsi" w:cstheme="majorHAnsi"/>
          <w:b/>
          <w:bCs/>
        </w:rPr>
        <w:t xml:space="preserve"> 30/6)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</w:tblGrid>
      <w:tr w:rsidR="001E09AA" w:rsidRPr="001E09AA" w14:paraId="154856CA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02D089EF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 xml:space="preserve">Amazon.com, </w:t>
            </w:r>
            <w:proofErr w:type="spellStart"/>
            <w:r w:rsidRPr="001E09AA">
              <w:rPr>
                <w:rFonts w:asciiTheme="majorHAnsi" w:hAnsiTheme="majorHAnsi" w:cstheme="majorHAnsi"/>
              </w:rPr>
              <w:t>Inc</w:t>
            </w:r>
            <w:proofErr w:type="spellEnd"/>
            <w:r w:rsidRPr="001E09AA">
              <w:rPr>
                <w:rFonts w:asciiTheme="majorHAnsi" w:hAnsiTheme="majorHAnsi" w:cstheme="majorHAnsi"/>
              </w:rPr>
              <w:t>.</w:t>
            </w:r>
          </w:p>
        </w:tc>
      </w:tr>
      <w:tr w:rsidR="001E09AA" w:rsidRPr="001E09AA" w14:paraId="24A97EA8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1336495F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>Bayer AG</w:t>
            </w:r>
          </w:p>
        </w:tc>
      </w:tr>
      <w:tr w:rsidR="001E09AA" w:rsidRPr="001E09AA" w14:paraId="057E8C6B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156CAEE7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>BHP Group Ltd.</w:t>
            </w:r>
          </w:p>
        </w:tc>
      </w:tr>
      <w:tr w:rsidR="001E09AA" w:rsidRPr="001E09AA" w14:paraId="69EB22D9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62DD96B2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proofErr w:type="spellStart"/>
            <w:r w:rsidRPr="001E09AA">
              <w:rPr>
                <w:rFonts w:asciiTheme="majorHAnsi" w:hAnsiTheme="majorHAnsi" w:cstheme="majorHAnsi"/>
              </w:rPr>
              <w:t>Glencore</w:t>
            </w:r>
            <w:proofErr w:type="spellEnd"/>
            <w:r w:rsidRPr="001E09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E09AA">
              <w:rPr>
                <w:rFonts w:asciiTheme="majorHAnsi" w:hAnsiTheme="majorHAnsi" w:cstheme="majorHAnsi"/>
              </w:rPr>
              <w:t>Plc</w:t>
            </w:r>
            <w:proofErr w:type="spellEnd"/>
          </w:p>
        </w:tc>
      </w:tr>
      <w:tr w:rsidR="001E09AA" w:rsidRPr="001E09AA" w14:paraId="5852D8E0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7CA4C628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>Johnson &amp; Johnson</w:t>
            </w:r>
          </w:p>
        </w:tc>
      </w:tr>
      <w:tr w:rsidR="001E09AA" w:rsidRPr="001E09AA" w14:paraId="0D1D5B34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7D56FC63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>McDonald's Corp.</w:t>
            </w:r>
          </w:p>
        </w:tc>
      </w:tr>
      <w:tr w:rsidR="001E09AA" w:rsidRPr="001E09AA" w14:paraId="58E6A78B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3A408979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 xml:space="preserve">Meta </w:t>
            </w:r>
            <w:proofErr w:type="spellStart"/>
            <w:r w:rsidRPr="001E09AA">
              <w:rPr>
                <w:rFonts w:asciiTheme="majorHAnsi" w:hAnsiTheme="majorHAnsi" w:cstheme="majorHAnsi"/>
              </w:rPr>
              <w:t>Platforms</w:t>
            </w:r>
            <w:proofErr w:type="spellEnd"/>
            <w:r w:rsidRPr="001E09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1E09AA">
              <w:rPr>
                <w:rFonts w:asciiTheme="majorHAnsi" w:hAnsiTheme="majorHAnsi" w:cstheme="majorHAnsi"/>
              </w:rPr>
              <w:t>Inc</w:t>
            </w:r>
            <w:proofErr w:type="spellEnd"/>
            <w:r w:rsidRPr="001E09AA">
              <w:rPr>
                <w:rFonts w:asciiTheme="majorHAnsi" w:hAnsiTheme="majorHAnsi" w:cstheme="majorHAnsi"/>
              </w:rPr>
              <w:t>.</w:t>
            </w:r>
          </w:p>
        </w:tc>
      </w:tr>
      <w:tr w:rsidR="001E09AA" w:rsidRPr="001E09AA" w14:paraId="28DB23E5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23B66F5E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 xml:space="preserve">Rio Tinto </w:t>
            </w:r>
            <w:proofErr w:type="spellStart"/>
            <w:r w:rsidRPr="001E09AA">
              <w:rPr>
                <w:rFonts w:asciiTheme="majorHAnsi" w:hAnsiTheme="majorHAnsi" w:cstheme="majorHAnsi"/>
              </w:rPr>
              <w:t>Plc</w:t>
            </w:r>
            <w:proofErr w:type="spellEnd"/>
          </w:p>
        </w:tc>
      </w:tr>
      <w:tr w:rsidR="001E09AA" w:rsidRPr="001E09AA" w14:paraId="720E45E4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79FCCB40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>Sanofi</w:t>
            </w:r>
          </w:p>
        </w:tc>
      </w:tr>
      <w:tr w:rsidR="001E09AA" w:rsidRPr="001E09AA" w14:paraId="0AB267EF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289C2E8C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 xml:space="preserve">Shell </w:t>
            </w:r>
            <w:proofErr w:type="spellStart"/>
            <w:r w:rsidRPr="001E09AA">
              <w:rPr>
                <w:rFonts w:asciiTheme="majorHAnsi" w:hAnsiTheme="majorHAnsi" w:cstheme="majorHAnsi"/>
              </w:rPr>
              <w:t>Plc</w:t>
            </w:r>
            <w:proofErr w:type="spellEnd"/>
          </w:p>
        </w:tc>
      </w:tr>
      <w:tr w:rsidR="001E09AA" w:rsidRPr="001E09AA" w14:paraId="2756AD27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794A02B4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>Telefonaktiebolaget LM Ericsson</w:t>
            </w:r>
          </w:p>
        </w:tc>
      </w:tr>
      <w:tr w:rsidR="001E09AA" w:rsidRPr="001E09AA" w14:paraId="2642147E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433D6B16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 xml:space="preserve">Tesla, </w:t>
            </w:r>
            <w:proofErr w:type="spellStart"/>
            <w:r w:rsidRPr="001E09AA">
              <w:rPr>
                <w:rFonts w:asciiTheme="majorHAnsi" w:hAnsiTheme="majorHAnsi" w:cstheme="majorHAnsi"/>
              </w:rPr>
              <w:t>Inc</w:t>
            </w:r>
            <w:proofErr w:type="spellEnd"/>
            <w:r w:rsidRPr="001E09AA">
              <w:rPr>
                <w:rFonts w:asciiTheme="majorHAnsi" w:hAnsiTheme="majorHAnsi" w:cstheme="majorHAnsi"/>
              </w:rPr>
              <w:t>.</w:t>
            </w:r>
          </w:p>
        </w:tc>
      </w:tr>
      <w:tr w:rsidR="001E09AA" w:rsidRPr="001E09AA" w14:paraId="68A30C42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5018F605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proofErr w:type="spellStart"/>
            <w:r w:rsidRPr="001E09AA">
              <w:rPr>
                <w:rFonts w:asciiTheme="majorHAnsi" w:hAnsiTheme="majorHAnsi" w:cstheme="majorHAnsi"/>
              </w:rPr>
              <w:t>Thermo</w:t>
            </w:r>
            <w:proofErr w:type="spellEnd"/>
            <w:r w:rsidRPr="001E09AA">
              <w:rPr>
                <w:rFonts w:asciiTheme="majorHAnsi" w:hAnsiTheme="majorHAnsi" w:cstheme="majorHAnsi"/>
              </w:rPr>
              <w:t xml:space="preserve"> Fisher </w:t>
            </w:r>
            <w:proofErr w:type="spellStart"/>
            <w:r w:rsidRPr="001E09AA">
              <w:rPr>
                <w:rFonts w:asciiTheme="majorHAnsi" w:hAnsiTheme="majorHAnsi" w:cstheme="majorHAnsi"/>
              </w:rPr>
              <w:t>Scientific</w:t>
            </w:r>
            <w:proofErr w:type="spellEnd"/>
            <w:r w:rsidRPr="001E09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1E09AA">
              <w:rPr>
                <w:rFonts w:asciiTheme="majorHAnsi" w:hAnsiTheme="majorHAnsi" w:cstheme="majorHAnsi"/>
              </w:rPr>
              <w:t>Inc</w:t>
            </w:r>
            <w:proofErr w:type="spellEnd"/>
            <w:r w:rsidRPr="001E09AA">
              <w:rPr>
                <w:rFonts w:asciiTheme="majorHAnsi" w:hAnsiTheme="majorHAnsi" w:cstheme="majorHAnsi"/>
              </w:rPr>
              <w:t>.</w:t>
            </w:r>
          </w:p>
        </w:tc>
      </w:tr>
      <w:tr w:rsidR="001E09AA" w:rsidRPr="001E09AA" w14:paraId="529BC7B6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521A3623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proofErr w:type="spellStart"/>
            <w:r w:rsidRPr="001E09AA">
              <w:rPr>
                <w:rFonts w:asciiTheme="majorHAnsi" w:hAnsiTheme="majorHAnsi" w:cstheme="majorHAnsi"/>
              </w:rPr>
              <w:t>TotalEnergies</w:t>
            </w:r>
            <w:proofErr w:type="spellEnd"/>
            <w:r w:rsidRPr="001E09AA">
              <w:rPr>
                <w:rFonts w:asciiTheme="majorHAnsi" w:hAnsiTheme="majorHAnsi" w:cstheme="majorHAnsi"/>
              </w:rPr>
              <w:t xml:space="preserve"> SE</w:t>
            </w:r>
          </w:p>
        </w:tc>
      </w:tr>
      <w:tr w:rsidR="001E09AA" w:rsidRPr="001E09AA" w14:paraId="46CC7154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3D4979A5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>Toyota Motor Corp.</w:t>
            </w:r>
          </w:p>
        </w:tc>
      </w:tr>
      <w:tr w:rsidR="001E09AA" w:rsidRPr="001E09AA" w14:paraId="0E882221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2C247ACF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>UBS Group AG</w:t>
            </w:r>
          </w:p>
        </w:tc>
      </w:tr>
      <w:tr w:rsidR="001E09AA" w:rsidRPr="001E09AA" w14:paraId="5AB11F7B" w14:textId="77777777" w:rsidTr="001E09AA">
        <w:trPr>
          <w:trHeight w:val="255"/>
        </w:trPr>
        <w:tc>
          <w:tcPr>
            <w:tcW w:w="2932" w:type="dxa"/>
            <w:noWrap/>
            <w:hideMark/>
          </w:tcPr>
          <w:p w14:paraId="1792180B" w14:textId="77777777" w:rsidR="001E09AA" w:rsidRPr="001E09AA" w:rsidRDefault="001E09AA" w:rsidP="001E09AA">
            <w:pPr>
              <w:rPr>
                <w:rFonts w:asciiTheme="majorHAnsi" w:hAnsiTheme="majorHAnsi" w:cstheme="majorHAnsi"/>
              </w:rPr>
            </w:pPr>
            <w:r w:rsidRPr="001E09AA">
              <w:rPr>
                <w:rFonts w:asciiTheme="majorHAnsi" w:hAnsiTheme="majorHAnsi" w:cstheme="majorHAnsi"/>
              </w:rPr>
              <w:t xml:space="preserve">Westpac </w:t>
            </w:r>
            <w:proofErr w:type="spellStart"/>
            <w:r w:rsidRPr="001E09AA">
              <w:rPr>
                <w:rFonts w:asciiTheme="majorHAnsi" w:hAnsiTheme="majorHAnsi" w:cstheme="majorHAnsi"/>
              </w:rPr>
              <w:t>Banking</w:t>
            </w:r>
            <w:proofErr w:type="spellEnd"/>
            <w:r w:rsidRPr="001E09AA">
              <w:rPr>
                <w:rFonts w:asciiTheme="majorHAnsi" w:hAnsiTheme="majorHAnsi" w:cstheme="majorHAnsi"/>
              </w:rPr>
              <w:t xml:space="preserve"> Corp.</w:t>
            </w:r>
          </w:p>
        </w:tc>
      </w:tr>
    </w:tbl>
    <w:p w14:paraId="2FFC6667" w14:textId="6A1A966C" w:rsidR="00D97B32" w:rsidRDefault="00D97B32" w:rsidP="00EA16BC">
      <w:pPr>
        <w:rPr>
          <w:rFonts w:asciiTheme="majorHAnsi" w:hAnsiTheme="majorHAnsi" w:cstheme="majorHAnsi"/>
        </w:rPr>
      </w:pPr>
    </w:p>
    <w:p w14:paraId="1909958A" w14:textId="77777777" w:rsidR="001D1F79" w:rsidRPr="00EA16BC" w:rsidRDefault="001D1F79" w:rsidP="00EA16BC">
      <w:pPr>
        <w:rPr>
          <w:rFonts w:asciiTheme="majorHAnsi" w:hAnsiTheme="majorHAnsi" w:cstheme="majorHAnsi"/>
        </w:rPr>
      </w:pPr>
    </w:p>
    <w:p w14:paraId="5B91A16D" w14:textId="749BA47D" w:rsidR="002A6AB0" w:rsidRDefault="00D97B32" w:rsidP="002A6AB0">
      <w:pPr>
        <w:rPr>
          <w:rFonts w:asciiTheme="majorHAnsi" w:hAnsiTheme="majorHAnsi" w:cstheme="majorHAnsi"/>
          <w:b/>
          <w:bCs/>
        </w:rPr>
      </w:pPr>
      <w:r w:rsidRPr="00EA16BC">
        <w:rPr>
          <w:rFonts w:asciiTheme="majorHAnsi" w:hAnsiTheme="majorHAnsi" w:cstheme="majorHAnsi"/>
          <w:b/>
          <w:bCs/>
        </w:rPr>
        <w:t>Förändringen från 30</w:t>
      </w:r>
      <w:r w:rsidR="00A040C6">
        <w:rPr>
          <w:rFonts w:asciiTheme="majorHAnsi" w:hAnsiTheme="majorHAnsi" w:cstheme="majorHAnsi"/>
          <w:b/>
          <w:bCs/>
        </w:rPr>
        <w:t xml:space="preserve"> j</w:t>
      </w:r>
      <w:r w:rsidRPr="00EA16BC">
        <w:rPr>
          <w:rFonts w:asciiTheme="majorHAnsi" w:hAnsiTheme="majorHAnsi" w:cstheme="majorHAnsi"/>
          <w:b/>
          <w:bCs/>
        </w:rPr>
        <w:t>uni består av:</w:t>
      </w:r>
    </w:p>
    <w:p w14:paraId="05AA428D" w14:textId="2E002B15" w:rsidR="00D97B32" w:rsidRPr="00EA16BC" w:rsidRDefault="00CE5E23" w:rsidP="00EA16B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D97B32" w:rsidRPr="00EA16BC">
        <w:rPr>
          <w:rFonts w:asciiTheme="majorHAnsi" w:hAnsiTheme="majorHAnsi" w:cstheme="majorHAnsi"/>
          <w:b/>
          <w:bCs/>
        </w:rPr>
        <w:t xml:space="preserve"> bolag </w:t>
      </w:r>
      <w:r>
        <w:rPr>
          <w:rFonts w:asciiTheme="majorHAnsi" w:hAnsiTheme="majorHAnsi" w:cstheme="majorHAnsi"/>
          <w:b/>
          <w:bCs/>
        </w:rPr>
        <w:t xml:space="preserve">från Watchlist har sålts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D97B32" w:rsidRPr="00EA16BC" w14:paraId="230AA179" w14:textId="77777777" w:rsidTr="00750240">
        <w:trPr>
          <w:trHeight w:val="396"/>
        </w:trPr>
        <w:tc>
          <w:tcPr>
            <w:tcW w:w="2547" w:type="dxa"/>
            <w:hideMark/>
          </w:tcPr>
          <w:p w14:paraId="2A4E9082" w14:textId="163C247F" w:rsidR="00D97B32" w:rsidRPr="00EA16BC" w:rsidRDefault="00705DB9" w:rsidP="00EA16BC">
            <w:pPr>
              <w:rPr>
                <w:rFonts w:asciiTheme="majorHAnsi" w:hAnsiTheme="majorHAnsi" w:cstheme="majorHAnsi"/>
              </w:rPr>
            </w:pPr>
            <w:r w:rsidRPr="001D1F79">
              <w:rPr>
                <w:rFonts w:asciiTheme="majorHAnsi" w:hAnsiTheme="majorHAnsi" w:cstheme="majorHAnsi"/>
              </w:rPr>
              <w:t>MEDTRONIC PLC</w:t>
            </w:r>
          </w:p>
        </w:tc>
      </w:tr>
    </w:tbl>
    <w:p w14:paraId="3823312E" w14:textId="26277184" w:rsidR="00D97B32" w:rsidRPr="00EA16BC" w:rsidRDefault="00D97B32" w:rsidP="00EA16BC">
      <w:pPr>
        <w:rPr>
          <w:rFonts w:asciiTheme="majorHAnsi" w:hAnsiTheme="majorHAnsi" w:cstheme="majorHAnsi"/>
        </w:rPr>
      </w:pPr>
    </w:p>
    <w:p w14:paraId="2E7BE880" w14:textId="63198F16" w:rsidR="00D97B32" w:rsidRPr="00EA16BC" w:rsidRDefault="001D1F79" w:rsidP="00EA16B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D97B32" w:rsidRPr="00EA16BC">
        <w:rPr>
          <w:rFonts w:asciiTheme="majorHAnsi" w:hAnsiTheme="majorHAnsi" w:cstheme="majorHAnsi"/>
          <w:b/>
          <w:bCs/>
        </w:rPr>
        <w:t xml:space="preserve"> bolag har </w:t>
      </w:r>
      <w:r>
        <w:rPr>
          <w:rFonts w:asciiTheme="majorHAnsi" w:hAnsiTheme="majorHAnsi" w:cstheme="majorHAnsi"/>
          <w:b/>
          <w:bCs/>
        </w:rPr>
        <w:t xml:space="preserve">klassats om till ”Watchlist” Från </w:t>
      </w:r>
      <w:proofErr w:type="spellStart"/>
      <w:r>
        <w:rPr>
          <w:rFonts w:asciiTheme="majorHAnsi" w:hAnsiTheme="majorHAnsi" w:cstheme="majorHAnsi"/>
          <w:b/>
          <w:bCs/>
        </w:rPr>
        <w:t>Compliant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</w:tblGrid>
      <w:tr w:rsidR="008539D9" w:rsidRPr="00EA16BC" w14:paraId="37FD66EC" w14:textId="77777777" w:rsidTr="00750240">
        <w:trPr>
          <w:trHeight w:val="364"/>
        </w:trPr>
        <w:tc>
          <w:tcPr>
            <w:tcW w:w="1920" w:type="dxa"/>
            <w:hideMark/>
          </w:tcPr>
          <w:p w14:paraId="6C5C9CEF" w14:textId="74DE2744" w:rsidR="008539D9" w:rsidRPr="00EA16BC" w:rsidRDefault="00C3257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TotalEnerg</w:t>
            </w:r>
            <w:r w:rsidR="00535D0D">
              <w:rPr>
                <w:rFonts w:asciiTheme="majorHAnsi" w:hAnsiTheme="majorHAnsi" w:cstheme="majorHAnsi"/>
              </w:rPr>
              <w:t>ies</w:t>
            </w:r>
            <w:proofErr w:type="spellEnd"/>
            <w:r w:rsidR="00535D0D">
              <w:rPr>
                <w:rFonts w:asciiTheme="majorHAnsi" w:hAnsiTheme="majorHAnsi" w:cstheme="majorHAnsi"/>
              </w:rPr>
              <w:t xml:space="preserve"> SE</w:t>
            </w:r>
          </w:p>
        </w:tc>
      </w:tr>
    </w:tbl>
    <w:p w14:paraId="06C50B3E" w14:textId="47BBFFE5" w:rsidR="008539D9" w:rsidRDefault="008539D9" w:rsidP="00EA16BC">
      <w:pPr>
        <w:rPr>
          <w:rFonts w:asciiTheme="majorHAnsi" w:hAnsiTheme="majorHAnsi" w:cstheme="majorHAnsi"/>
        </w:rPr>
      </w:pPr>
    </w:p>
    <w:p w14:paraId="2DF6A86E" w14:textId="3941BFD1" w:rsidR="00705DB9" w:rsidRPr="00EA16BC" w:rsidRDefault="00705DB9" w:rsidP="00705DB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Pr="00EA16BC">
        <w:rPr>
          <w:rFonts w:asciiTheme="majorHAnsi" w:hAnsiTheme="majorHAnsi" w:cstheme="majorHAnsi"/>
          <w:b/>
          <w:bCs/>
        </w:rPr>
        <w:t xml:space="preserve"> bolag har </w:t>
      </w:r>
      <w:r>
        <w:rPr>
          <w:rFonts w:asciiTheme="majorHAnsi" w:hAnsiTheme="majorHAnsi" w:cstheme="majorHAnsi"/>
          <w:b/>
          <w:bCs/>
        </w:rPr>
        <w:t xml:space="preserve">tillkommit till </w:t>
      </w:r>
      <w:r w:rsidR="004218B3">
        <w:rPr>
          <w:rFonts w:asciiTheme="majorHAnsi" w:hAnsiTheme="majorHAnsi" w:cstheme="majorHAnsi"/>
          <w:b/>
          <w:bCs/>
        </w:rPr>
        <w:t>benchmark med klassificering ”Watchlist”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</w:tblGrid>
      <w:tr w:rsidR="00705DB9" w:rsidRPr="00EA16BC" w14:paraId="53BC85D7" w14:textId="77777777">
        <w:trPr>
          <w:trHeight w:val="364"/>
        </w:trPr>
        <w:tc>
          <w:tcPr>
            <w:tcW w:w="1920" w:type="dxa"/>
            <w:hideMark/>
          </w:tcPr>
          <w:p w14:paraId="6AA8406D" w14:textId="0C72C4A9" w:rsidR="00705DB9" w:rsidRPr="00EA16BC" w:rsidRDefault="006926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UBS AG</w:t>
            </w:r>
          </w:p>
        </w:tc>
      </w:tr>
    </w:tbl>
    <w:p w14:paraId="1254BFB9" w14:textId="77777777" w:rsidR="002F5C73" w:rsidRDefault="002F5C73" w:rsidP="00EA16BC">
      <w:pPr>
        <w:rPr>
          <w:rFonts w:asciiTheme="majorHAnsi" w:hAnsiTheme="majorHAnsi" w:cstheme="majorHAnsi"/>
        </w:rPr>
      </w:pPr>
    </w:p>
    <w:p w14:paraId="32374AAF" w14:textId="233A25A1" w:rsidR="00D97B32" w:rsidRDefault="00D97B32" w:rsidP="00EA16BC">
      <w:pPr>
        <w:rPr>
          <w:rFonts w:asciiTheme="majorHAnsi" w:hAnsiTheme="majorHAnsi" w:cstheme="majorHAnsi"/>
        </w:rPr>
      </w:pPr>
    </w:p>
    <w:p w14:paraId="5F3788B0" w14:textId="77777777" w:rsidR="008539D9" w:rsidRPr="00EA16BC" w:rsidRDefault="008539D9" w:rsidP="00EA16BC">
      <w:pPr>
        <w:rPr>
          <w:rFonts w:asciiTheme="majorHAnsi" w:hAnsiTheme="majorHAnsi" w:cstheme="majorHAnsi"/>
        </w:rPr>
      </w:pPr>
    </w:p>
    <w:p w14:paraId="500D0234" w14:textId="09B535CF" w:rsidR="00850237" w:rsidRPr="00EA16BC" w:rsidRDefault="005D5D31" w:rsidP="008D5B2B">
      <w:pPr>
        <w:rPr>
          <w:rFonts w:asciiTheme="majorHAnsi" w:hAnsiTheme="majorHAnsi" w:cstheme="majorHAnsi"/>
        </w:rPr>
      </w:pPr>
      <w:r w:rsidRPr="00EA16BC">
        <w:rPr>
          <w:rFonts w:asciiTheme="majorHAnsi" w:hAnsiTheme="majorHAnsi" w:cstheme="majorHAnsi"/>
          <w:b/>
          <w:bCs/>
        </w:rPr>
        <w:t xml:space="preserve">Bilaga: </w:t>
      </w:r>
      <w:r w:rsidR="00D0457B" w:rsidRPr="00EA16BC">
        <w:rPr>
          <w:rFonts w:asciiTheme="majorHAnsi" w:hAnsiTheme="majorHAnsi" w:cstheme="majorHAnsi"/>
          <w:b/>
          <w:bCs/>
        </w:rPr>
        <w:t>PTP bevakningslista</w:t>
      </w:r>
      <w:r w:rsidR="009A7DB1">
        <w:rPr>
          <w:rFonts w:asciiTheme="majorHAnsi" w:hAnsiTheme="majorHAnsi" w:cstheme="majorHAnsi"/>
          <w:b/>
          <w:bCs/>
        </w:rPr>
        <w:t xml:space="preserve"> </w:t>
      </w:r>
      <w:r w:rsidR="00D0457B" w:rsidRPr="00EA16BC">
        <w:rPr>
          <w:rFonts w:asciiTheme="majorHAnsi" w:hAnsiTheme="majorHAnsi" w:cstheme="majorHAnsi"/>
          <w:b/>
          <w:bCs/>
        </w:rPr>
        <w:t>20</w:t>
      </w:r>
      <w:r w:rsidR="009A7DB1">
        <w:rPr>
          <w:rFonts w:asciiTheme="majorHAnsi" w:hAnsiTheme="majorHAnsi" w:cstheme="majorHAnsi"/>
          <w:b/>
          <w:bCs/>
        </w:rPr>
        <w:t>2</w:t>
      </w:r>
      <w:r w:rsidR="004218B3">
        <w:rPr>
          <w:rFonts w:asciiTheme="majorHAnsi" w:hAnsiTheme="majorHAnsi" w:cstheme="majorHAnsi"/>
          <w:b/>
          <w:bCs/>
        </w:rPr>
        <w:t>3</w:t>
      </w:r>
      <w:r w:rsidR="002F5C73">
        <w:rPr>
          <w:rFonts w:asciiTheme="majorHAnsi" w:hAnsiTheme="majorHAnsi" w:cstheme="majorHAnsi"/>
          <w:b/>
          <w:bCs/>
        </w:rPr>
        <w:t>-12-31</w:t>
      </w:r>
    </w:p>
    <w:sectPr w:rsidR="00850237" w:rsidRPr="00EA1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6588"/>
    <w:multiLevelType w:val="hybridMultilevel"/>
    <w:tmpl w:val="3E26CA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066"/>
    <w:multiLevelType w:val="hybridMultilevel"/>
    <w:tmpl w:val="8E18BE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6A1A"/>
    <w:multiLevelType w:val="hybridMultilevel"/>
    <w:tmpl w:val="820CAB6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06628"/>
    <w:multiLevelType w:val="hybridMultilevel"/>
    <w:tmpl w:val="004CDE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2C7"/>
    <w:multiLevelType w:val="hybridMultilevel"/>
    <w:tmpl w:val="2CBA53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660BD"/>
    <w:multiLevelType w:val="hybridMultilevel"/>
    <w:tmpl w:val="098EFD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73B7D"/>
    <w:multiLevelType w:val="hybridMultilevel"/>
    <w:tmpl w:val="B96870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678C"/>
    <w:multiLevelType w:val="hybridMultilevel"/>
    <w:tmpl w:val="3200A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25EFA"/>
    <w:multiLevelType w:val="hybridMultilevel"/>
    <w:tmpl w:val="D7962ED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26558727">
    <w:abstractNumId w:val="4"/>
  </w:num>
  <w:num w:numId="2" w16cid:durableId="574821403">
    <w:abstractNumId w:val="5"/>
  </w:num>
  <w:num w:numId="3" w16cid:durableId="1498231120">
    <w:abstractNumId w:val="2"/>
  </w:num>
  <w:num w:numId="4" w16cid:durableId="1511291967">
    <w:abstractNumId w:val="1"/>
  </w:num>
  <w:num w:numId="5" w16cid:durableId="799490949">
    <w:abstractNumId w:val="8"/>
  </w:num>
  <w:num w:numId="6" w16cid:durableId="1972246753">
    <w:abstractNumId w:val="7"/>
  </w:num>
  <w:num w:numId="7" w16cid:durableId="641039136">
    <w:abstractNumId w:val="6"/>
  </w:num>
  <w:num w:numId="8" w16cid:durableId="1614484580">
    <w:abstractNumId w:val="0"/>
  </w:num>
  <w:num w:numId="9" w16cid:durableId="1467042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4"/>
    <w:rsid w:val="00002A33"/>
    <w:rsid w:val="0001424F"/>
    <w:rsid w:val="00026767"/>
    <w:rsid w:val="00027953"/>
    <w:rsid w:val="00035CCC"/>
    <w:rsid w:val="00042560"/>
    <w:rsid w:val="000518FA"/>
    <w:rsid w:val="000655E9"/>
    <w:rsid w:val="000D4E23"/>
    <w:rsid w:val="000F3A7A"/>
    <w:rsid w:val="0010798C"/>
    <w:rsid w:val="001175C6"/>
    <w:rsid w:val="001507BA"/>
    <w:rsid w:val="00157DF6"/>
    <w:rsid w:val="00177193"/>
    <w:rsid w:val="00196F4D"/>
    <w:rsid w:val="001D1F79"/>
    <w:rsid w:val="001E09AA"/>
    <w:rsid w:val="00202D0F"/>
    <w:rsid w:val="00207431"/>
    <w:rsid w:val="002424F9"/>
    <w:rsid w:val="002A6AB0"/>
    <w:rsid w:val="002F401C"/>
    <w:rsid w:val="002F5C73"/>
    <w:rsid w:val="0032130A"/>
    <w:rsid w:val="00357B4B"/>
    <w:rsid w:val="003A7CB3"/>
    <w:rsid w:val="003B1837"/>
    <w:rsid w:val="003C15AB"/>
    <w:rsid w:val="003D5DCF"/>
    <w:rsid w:val="003E0427"/>
    <w:rsid w:val="003F63F7"/>
    <w:rsid w:val="004218B3"/>
    <w:rsid w:val="00441B7C"/>
    <w:rsid w:val="00484D6A"/>
    <w:rsid w:val="004875F7"/>
    <w:rsid w:val="004B1130"/>
    <w:rsid w:val="00512707"/>
    <w:rsid w:val="00535D0D"/>
    <w:rsid w:val="00567686"/>
    <w:rsid w:val="0059392E"/>
    <w:rsid w:val="00597EA6"/>
    <w:rsid w:val="005B2CA9"/>
    <w:rsid w:val="005C5467"/>
    <w:rsid w:val="005D5D31"/>
    <w:rsid w:val="005D6147"/>
    <w:rsid w:val="00602F8F"/>
    <w:rsid w:val="006111C8"/>
    <w:rsid w:val="00655823"/>
    <w:rsid w:val="00680B0B"/>
    <w:rsid w:val="006926B7"/>
    <w:rsid w:val="006A6908"/>
    <w:rsid w:val="006C53F7"/>
    <w:rsid w:val="006D0388"/>
    <w:rsid w:val="006E4316"/>
    <w:rsid w:val="00705DB9"/>
    <w:rsid w:val="00735848"/>
    <w:rsid w:val="00750240"/>
    <w:rsid w:val="007631BB"/>
    <w:rsid w:val="007A4D11"/>
    <w:rsid w:val="007F04B0"/>
    <w:rsid w:val="007F775B"/>
    <w:rsid w:val="00800BA0"/>
    <w:rsid w:val="00826FDC"/>
    <w:rsid w:val="00845D1D"/>
    <w:rsid w:val="00850237"/>
    <w:rsid w:val="008539D9"/>
    <w:rsid w:val="00887745"/>
    <w:rsid w:val="008D5B2B"/>
    <w:rsid w:val="009104A8"/>
    <w:rsid w:val="00926EF1"/>
    <w:rsid w:val="00933710"/>
    <w:rsid w:val="00940279"/>
    <w:rsid w:val="009439DB"/>
    <w:rsid w:val="00961AF4"/>
    <w:rsid w:val="009A7DB1"/>
    <w:rsid w:val="009F348E"/>
    <w:rsid w:val="00A014BC"/>
    <w:rsid w:val="00A040C6"/>
    <w:rsid w:val="00A20942"/>
    <w:rsid w:val="00A3318C"/>
    <w:rsid w:val="00A33F0A"/>
    <w:rsid w:val="00A76B0A"/>
    <w:rsid w:val="00A80364"/>
    <w:rsid w:val="00A94306"/>
    <w:rsid w:val="00AC5248"/>
    <w:rsid w:val="00AE6966"/>
    <w:rsid w:val="00B01FED"/>
    <w:rsid w:val="00B076AF"/>
    <w:rsid w:val="00B117A2"/>
    <w:rsid w:val="00B35914"/>
    <w:rsid w:val="00B52A62"/>
    <w:rsid w:val="00B7210A"/>
    <w:rsid w:val="00BA2525"/>
    <w:rsid w:val="00BB449A"/>
    <w:rsid w:val="00BE2F13"/>
    <w:rsid w:val="00BE3C2E"/>
    <w:rsid w:val="00C32579"/>
    <w:rsid w:val="00C44CE2"/>
    <w:rsid w:val="00CA0448"/>
    <w:rsid w:val="00CC49A9"/>
    <w:rsid w:val="00CE346E"/>
    <w:rsid w:val="00CE571A"/>
    <w:rsid w:val="00CE5E23"/>
    <w:rsid w:val="00CF3471"/>
    <w:rsid w:val="00D0457B"/>
    <w:rsid w:val="00D415D6"/>
    <w:rsid w:val="00D76F47"/>
    <w:rsid w:val="00D862E1"/>
    <w:rsid w:val="00D8773C"/>
    <w:rsid w:val="00D9650C"/>
    <w:rsid w:val="00D97B32"/>
    <w:rsid w:val="00DB181D"/>
    <w:rsid w:val="00DC232D"/>
    <w:rsid w:val="00DD2DA7"/>
    <w:rsid w:val="00DE19E7"/>
    <w:rsid w:val="00DF6F0D"/>
    <w:rsid w:val="00E50AF6"/>
    <w:rsid w:val="00E63CB4"/>
    <w:rsid w:val="00E63EB4"/>
    <w:rsid w:val="00E6600A"/>
    <w:rsid w:val="00E72158"/>
    <w:rsid w:val="00E86957"/>
    <w:rsid w:val="00EA16BC"/>
    <w:rsid w:val="00EA1D03"/>
    <w:rsid w:val="00EA51B4"/>
    <w:rsid w:val="00EF7071"/>
    <w:rsid w:val="00F12C9A"/>
    <w:rsid w:val="00F25DB2"/>
    <w:rsid w:val="00F4202A"/>
    <w:rsid w:val="00F502C5"/>
    <w:rsid w:val="00F60522"/>
    <w:rsid w:val="00F758F4"/>
    <w:rsid w:val="00FA1942"/>
    <w:rsid w:val="00FE0663"/>
    <w:rsid w:val="00FF0566"/>
    <w:rsid w:val="00FF0955"/>
    <w:rsid w:val="04698327"/>
    <w:rsid w:val="064DAB21"/>
    <w:rsid w:val="09ECEF3E"/>
    <w:rsid w:val="0FDF5A6E"/>
    <w:rsid w:val="12074130"/>
    <w:rsid w:val="1423E680"/>
    <w:rsid w:val="175B8742"/>
    <w:rsid w:val="23BEC78D"/>
    <w:rsid w:val="244FB7A7"/>
    <w:rsid w:val="289238B0"/>
    <w:rsid w:val="3888F9BF"/>
    <w:rsid w:val="3FC56DE3"/>
    <w:rsid w:val="3FF23894"/>
    <w:rsid w:val="550AED5E"/>
    <w:rsid w:val="5AF58FFC"/>
    <w:rsid w:val="6344E613"/>
    <w:rsid w:val="6A25E937"/>
    <w:rsid w:val="6C43BAEB"/>
    <w:rsid w:val="6E8E14B3"/>
    <w:rsid w:val="71ED64E7"/>
    <w:rsid w:val="73024528"/>
    <w:rsid w:val="79E4148D"/>
    <w:rsid w:val="7AD2D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9202"/>
  <w15:chartTrackingRefBased/>
  <w15:docId w15:val="{D7A7CC88-7D5B-44D7-8C45-0B33E085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Times">
    <w:name w:val="Normal+Times"/>
    <w:basedOn w:val="Normal"/>
    <w:rsid w:val="00E6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3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4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A33"/>
    <w:pPr>
      <w:ind w:left="720"/>
      <w:contextualSpacing/>
    </w:pPr>
  </w:style>
  <w:style w:type="table" w:styleId="TableGrid">
    <w:name w:val="Table Grid"/>
    <w:basedOn w:val="TableNormal"/>
    <w:uiPriority w:val="39"/>
    <w:rsid w:val="00D9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901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16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84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819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17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A6C2C049AA64ABC7A3AE87C4DEB7E" ma:contentTypeVersion="17" ma:contentTypeDescription="Create a new document." ma:contentTypeScope="" ma:versionID="10f7f2b5edabf7d80159d1ecf1adabcb">
  <xsd:schema xmlns:xsd="http://www.w3.org/2001/XMLSchema" xmlns:xs="http://www.w3.org/2001/XMLSchema" xmlns:p="http://schemas.microsoft.com/office/2006/metadata/properties" xmlns:ns2="82b4784c-c4a6-4cdf-ae0c-2ecba418781f" xmlns:ns3="62767088-999d-4c3d-bdcc-67cb02d5f12a" targetNamespace="http://schemas.microsoft.com/office/2006/metadata/properties" ma:root="true" ma:fieldsID="1692e28f107d6e09dabdba0f8244c84e" ns2:_="" ns3:_="">
    <xsd:import namespace="82b4784c-c4a6-4cdf-ae0c-2ecba418781f"/>
    <xsd:import namespace="62767088-999d-4c3d-bdcc-67cb02d5f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784c-c4a6-4cdf-ae0c-2ecba4187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d30dcd-8eda-48a1-9c2f-4f1eba150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7088-999d-4c3d-bdcc-67cb02d5f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8e1e52-1513-4a8b-9a6b-5e4a57807393}" ma:internalName="TaxCatchAll" ma:showField="CatchAllData" ma:web="62767088-999d-4c3d-bdcc-67cb02d5f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767088-999d-4c3d-bdcc-67cb02d5f12a" xsi:nil="true"/>
    <lcf76f155ced4ddcb4097134ff3c332f xmlns="82b4784c-c4a6-4cdf-ae0c-2ecba4187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D30388-C185-465B-9093-F343F0338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A3B8D-DE80-497D-AB2B-44509AE6D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784c-c4a6-4cdf-ae0c-2ecba418781f"/>
    <ds:schemaRef ds:uri="62767088-999d-4c3d-bdcc-67cb02d5f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A2095-1E1E-41B1-8529-7C22E973B7FA}">
  <ds:schemaRefs>
    <ds:schemaRef ds:uri="http://schemas.microsoft.com/office/2006/metadata/properties"/>
    <ds:schemaRef ds:uri="http://schemas.microsoft.com/office/infopath/2007/PartnerControls"/>
    <ds:schemaRef ds:uri="62767088-999d-4c3d-bdcc-67cb02d5f12a"/>
    <ds:schemaRef ds:uri="82b4784c-c4a6-4cdf-ae0c-2ecba418781f"/>
  </ds:schemaRefs>
</ds:datastoreItem>
</file>

<file path=docMetadata/LabelInfo.xml><?xml version="1.0" encoding="utf-8"?>
<clbl:labelList xmlns:clbl="http://schemas.microsoft.com/office/2020/mipLabelMetadata">
  <clbl:label id="{3bb5408b-4a03-41ab-b8d7-a8cf6205f2cf}" enabled="0" method="" siteId="{3bb5408b-4a03-41ab-b8d7-a8cf6205f2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724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Ledunger</dc:creator>
  <cp:keywords/>
  <dc:description/>
  <cp:lastModifiedBy>Marcus Widmark</cp:lastModifiedBy>
  <cp:revision>31</cp:revision>
  <cp:lastPrinted>2022-02-21T19:02:00Z</cp:lastPrinted>
  <dcterms:created xsi:type="dcterms:W3CDTF">2024-02-14T22:30:00Z</dcterms:created>
  <dcterms:modified xsi:type="dcterms:W3CDTF">2024-02-29T18:22:00Z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0x0101007F0A6C2C049AA64ABC7A3AE87C4DEB7E</vt:lpwstr>
  </property>
  <property fmtid="{D5CDD505-2E9C-101B-9397-08002B2CF9AE}" pid="3" name="Order">
    <vt:r8>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